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D7" w:rsidRPr="00084886" w:rsidRDefault="007F3811" w:rsidP="00084886">
      <w:pPr>
        <w:spacing w:line="480" w:lineRule="auto"/>
        <w:rPr>
          <w:rFonts w:ascii="Times New Roman" w:hAnsi="Times New Roman"/>
          <w:sz w:val="24"/>
          <w:szCs w:val="24"/>
        </w:rPr>
      </w:pPr>
      <w:r w:rsidRPr="00084886">
        <w:rPr>
          <w:rFonts w:ascii="Times New Roman" w:hAnsi="Times New Roman"/>
          <w:sz w:val="24"/>
          <w:szCs w:val="24"/>
        </w:rPr>
        <w:t>Name:</w:t>
      </w:r>
    </w:p>
    <w:p w:rsidR="001637D7" w:rsidRPr="00084886" w:rsidRDefault="007F3811" w:rsidP="00084886">
      <w:pPr>
        <w:spacing w:line="480" w:lineRule="auto"/>
        <w:rPr>
          <w:rFonts w:ascii="Times New Roman" w:hAnsi="Times New Roman"/>
          <w:sz w:val="24"/>
          <w:szCs w:val="24"/>
        </w:rPr>
      </w:pPr>
      <w:r w:rsidRPr="00084886">
        <w:rPr>
          <w:rFonts w:ascii="Times New Roman" w:hAnsi="Times New Roman"/>
          <w:sz w:val="24"/>
          <w:szCs w:val="24"/>
        </w:rPr>
        <w:t>Professor:</w:t>
      </w:r>
    </w:p>
    <w:p w:rsidR="001637D7" w:rsidRPr="00084886" w:rsidRDefault="007F3811" w:rsidP="00084886">
      <w:pPr>
        <w:spacing w:line="480" w:lineRule="auto"/>
        <w:rPr>
          <w:rFonts w:ascii="Times New Roman" w:hAnsi="Times New Roman"/>
          <w:sz w:val="24"/>
          <w:szCs w:val="24"/>
        </w:rPr>
      </w:pPr>
      <w:r w:rsidRPr="00084886">
        <w:rPr>
          <w:rFonts w:ascii="Times New Roman" w:hAnsi="Times New Roman"/>
          <w:sz w:val="24"/>
          <w:szCs w:val="24"/>
        </w:rPr>
        <w:t>Course:</w:t>
      </w:r>
    </w:p>
    <w:p w:rsidR="001637D7" w:rsidRPr="00084886" w:rsidRDefault="007F3811" w:rsidP="00084886">
      <w:pPr>
        <w:spacing w:line="480" w:lineRule="auto"/>
        <w:rPr>
          <w:rFonts w:ascii="Times New Roman" w:hAnsi="Times New Roman"/>
          <w:sz w:val="24"/>
          <w:szCs w:val="24"/>
        </w:rPr>
      </w:pPr>
      <w:r w:rsidRPr="00084886">
        <w:rPr>
          <w:rFonts w:ascii="Times New Roman" w:hAnsi="Times New Roman"/>
          <w:sz w:val="24"/>
          <w:szCs w:val="24"/>
        </w:rPr>
        <w:t>Date:</w:t>
      </w:r>
    </w:p>
    <w:p w:rsidR="001637D7" w:rsidRPr="00084886" w:rsidRDefault="007F3811" w:rsidP="00084886">
      <w:pPr>
        <w:spacing w:line="480" w:lineRule="auto"/>
        <w:jc w:val="center"/>
        <w:rPr>
          <w:rFonts w:ascii="Times New Roman" w:hAnsi="Times New Roman"/>
          <w:sz w:val="24"/>
          <w:szCs w:val="24"/>
        </w:rPr>
      </w:pPr>
      <w:r w:rsidRPr="00084886">
        <w:rPr>
          <w:rFonts w:ascii="Times New Roman" w:hAnsi="Times New Roman"/>
          <w:sz w:val="24"/>
          <w:szCs w:val="24"/>
        </w:rPr>
        <w:t>Week 3 Case Study</w:t>
      </w:r>
    </w:p>
    <w:p w:rsidR="001637D7" w:rsidRPr="00084886" w:rsidRDefault="007F3811" w:rsidP="00084886">
      <w:pPr>
        <w:spacing w:line="480" w:lineRule="auto"/>
        <w:ind w:firstLine="720"/>
        <w:rPr>
          <w:rFonts w:ascii="Times New Roman" w:hAnsi="Times New Roman"/>
          <w:b/>
          <w:bCs/>
          <w:sz w:val="24"/>
          <w:szCs w:val="24"/>
        </w:rPr>
      </w:pPr>
      <w:r w:rsidRPr="00084886">
        <w:rPr>
          <w:rFonts w:ascii="Times New Roman" w:hAnsi="Times New Roman"/>
          <w:b/>
          <w:bCs/>
          <w:sz w:val="24"/>
          <w:szCs w:val="24"/>
        </w:rPr>
        <w:t>Summary of history and physical (H &amp; P) findings</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A 19-year old freshman complained about bilateral eye discomfort. The illness began 2 to 3 days ago. The illness is constant and in both eyes. It is characterized by a gritty feeling. After its onset, the patient was medicated with OTC visine drops once in</w:t>
      </w:r>
      <w:r w:rsidRPr="00084886">
        <w:rPr>
          <w:rFonts w:ascii="Times New Roman" w:hAnsi="Times New Roman"/>
          <w:sz w:val="24"/>
          <w:szCs w:val="24"/>
        </w:rPr>
        <w:t xml:space="preserve"> the previous day, w</w:t>
      </w:r>
      <w:bookmarkStart w:id="0" w:name="_GoBack"/>
      <w:bookmarkEnd w:id="0"/>
      <w:r w:rsidRPr="00084886">
        <w:rPr>
          <w:rFonts w:ascii="Times New Roman" w:hAnsi="Times New Roman"/>
          <w:sz w:val="24"/>
          <w:szCs w:val="24"/>
        </w:rPr>
        <w:t xml:space="preserve">hich temporarily improved the redness but the gritty sensation, tearing and itching remained. In a scale of 10, the patient estimate the pain at a score of 2, implying that it was mild.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 After a review is systems, the patient did not h</w:t>
      </w:r>
      <w:r w:rsidRPr="00084886">
        <w:rPr>
          <w:rFonts w:ascii="Times New Roman" w:hAnsi="Times New Roman"/>
          <w:sz w:val="24"/>
          <w:szCs w:val="24"/>
        </w:rPr>
        <w:t>ave a fever, chills, or a recent illness. An eye examination revealed that the patient did not wear contact lense or glasses and had not experienced similar symptoms previously. The victim did not have any eye injury, trauma, visual change, or dryness. The</w:t>
      </w:r>
      <w:r w:rsidRPr="00084886">
        <w:rPr>
          <w:rFonts w:ascii="Times New Roman" w:hAnsi="Times New Roman"/>
          <w:sz w:val="24"/>
          <w:szCs w:val="24"/>
        </w:rPr>
        <w:t>re was no crusting of lids or mucoid, or purulent drainage. There were symptoms of bilateral itching, redness, tearing, and FB sensation. Ear examination showed negative otalgia and otorrhea. A nose examination showed an occasional running nose with interm</w:t>
      </w:r>
      <w:r w:rsidRPr="00084886">
        <w:rPr>
          <w:rFonts w:ascii="Times New Roman" w:hAnsi="Times New Roman"/>
          <w:sz w:val="24"/>
          <w:szCs w:val="24"/>
        </w:rPr>
        <w:t>ittent nasal congestion. He also had seasonal nasal allergies during the spring. There was no wheezing present. Reviewing the neck, throat, chest, and heart systems presented normal outcomes.</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lastRenderedPageBreak/>
        <w:t>There were no current medications, except for Loratadine 10mg da</w:t>
      </w:r>
      <w:r w:rsidRPr="00084886">
        <w:rPr>
          <w:rFonts w:ascii="Times New Roman" w:hAnsi="Times New Roman"/>
          <w:sz w:val="24"/>
          <w:szCs w:val="24"/>
        </w:rPr>
        <w:t>ily and fluticasone nasal spray daily (only takes during the spring months when nasal allergies flare). The patient did not smoke cigarettes, but admitted to smoking recreational marijuana and 3-6 beers in the weekends.</w:t>
      </w:r>
    </w:p>
    <w:p w:rsidR="001637D7" w:rsidRPr="00084886" w:rsidRDefault="007F3811" w:rsidP="00084886">
      <w:pPr>
        <w:spacing w:line="480" w:lineRule="auto"/>
        <w:ind w:firstLine="720"/>
        <w:rPr>
          <w:rFonts w:ascii="Times New Roman" w:hAnsi="Times New Roman"/>
          <w:b/>
          <w:bCs/>
          <w:sz w:val="24"/>
          <w:szCs w:val="24"/>
        </w:rPr>
      </w:pPr>
      <w:r w:rsidRPr="00084886">
        <w:rPr>
          <w:rFonts w:ascii="Times New Roman" w:hAnsi="Times New Roman"/>
          <w:b/>
          <w:bCs/>
          <w:sz w:val="24"/>
          <w:szCs w:val="24"/>
        </w:rPr>
        <w:t>Differential Diagnosis</w:t>
      </w:r>
    </w:p>
    <w:p w:rsidR="001637D7" w:rsidRPr="00084886" w:rsidRDefault="007F3811" w:rsidP="00084886">
      <w:pPr>
        <w:spacing w:line="480" w:lineRule="auto"/>
        <w:ind w:firstLine="720"/>
        <w:rPr>
          <w:rFonts w:ascii="Times New Roman" w:hAnsi="Times New Roman"/>
          <w:b/>
          <w:bCs/>
          <w:sz w:val="24"/>
          <w:szCs w:val="24"/>
        </w:rPr>
      </w:pPr>
      <w:r w:rsidRPr="00084886">
        <w:rPr>
          <w:rFonts w:ascii="Times New Roman" w:hAnsi="Times New Roman"/>
          <w:b/>
          <w:bCs/>
          <w:sz w:val="24"/>
          <w:szCs w:val="24"/>
        </w:rPr>
        <w:t>1. Viral Conj</w:t>
      </w:r>
      <w:r w:rsidRPr="00084886">
        <w:rPr>
          <w:rFonts w:ascii="Times New Roman" w:hAnsi="Times New Roman"/>
          <w:b/>
          <w:bCs/>
          <w:sz w:val="24"/>
          <w:szCs w:val="24"/>
        </w:rPr>
        <w:t>uctivitis</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Viral conjuctivitits is a highly infectious disease caused by the adenovirus. The disease is spread through direct contact with contaminated surfaces and objects. Clinical presentations are mild with a spontaneous remission in 1 to 2 weeks (Wirbe</w:t>
      </w:r>
      <w:r w:rsidRPr="00084886">
        <w:rPr>
          <w:rFonts w:ascii="Times New Roman" w:hAnsi="Times New Roman"/>
          <w:sz w:val="24"/>
          <w:szCs w:val="24"/>
        </w:rPr>
        <w:t>lauer). Symptoms of this infection are mild to no pain, diffuse hyperemia, a gritty feeling, mild itching, a watery discharge, and photophobia. Hyperemia is a conduction that occurs where there is excess blood build up in the conjuctival blood vessels agai</w:t>
      </w:r>
      <w:r w:rsidRPr="00084886">
        <w:rPr>
          <w:rFonts w:ascii="Times New Roman" w:hAnsi="Times New Roman"/>
          <w:sz w:val="24"/>
          <w:szCs w:val="24"/>
        </w:rPr>
        <w:t xml:space="preserve">nst the sclera. Conjuctiva hyperemia can be a sign of an inflammation or ocular infection (Stewart et al). It can be treated using ocular decongestants, artificial tears, and cold compresses.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This diagnosis can apply for the patient. Considering that it h</w:t>
      </w:r>
      <w:r w:rsidRPr="00084886">
        <w:rPr>
          <w:rFonts w:ascii="Times New Roman" w:hAnsi="Times New Roman"/>
          <w:sz w:val="24"/>
          <w:szCs w:val="24"/>
        </w:rPr>
        <w:t xml:space="preserve">as 1 to 2 weeks remission, at the time of reporting there can be no watery discharge.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b/>
          <w:bCs/>
          <w:sz w:val="24"/>
          <w:szCs w:val="24"/>
        </w:rPr>
        <w:t>2. Subconjuctival hemorrhage</w:t>
      </w:r>
      <w:r w:rsidRPr="00084886">
        <w:rPr>
          <w:rFonts w:ascii="Times New Roman" w:hAnsi="Times New Roman"/>
          <w:sz w:val="24"/>
          <w:szCs w:val="24"/>
        </w:rPr>
        <w:t xml:space="preserve">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This is bleeding underneath the conjuctiva that is caused by sudden or persistent coughing and sneezing, heavy lifting, straining and runni</w:t>
      </w:r>
      <w:r w:rsidRPr="00084886">
        <w:rPr>
          <w:rFonts w:ascii="Times New Roman" w:hAnsi="Times New Roman"/>
          <w:sz w:val="24"/>
          <w:szCs w:val="24"/>
        </w:rPr>
        <w:t xml:space="preserve">ng the eyes roughly. It can also be caused by the use of blood thinners and surgery. The victim has a normal vision, equal pupils </w:t>
      </w:r>
      <w:r w:rsidRPr="00084886">
        <w:rPr>
          <w:rFonts w:ascii="Times New Roman" w:hAnsi="Times New Roman"/>
          <w:sz w:val="24"/>
          <w:szCs w:val="24"/>
        </w:rPr>
        <w:lastRenderedPageBreak/>
        <w:t xml:space="preserve">that react to light, no discharge, and mild to no pain. It is harmless and treatment is often not needed. The symptoms can be </w:t>
      </w:r>
      <w:r w:rsidRPr="00084886">
        <w:rPr>
          <w:rFonts w:ascii="Times New Roman" w:hAnsi="Times New Roman"/>
          <w:sz w:val="24"/>
          <w:szCs w:val="24"/>
        </w:rPr>
        <w:t xml:space="preserve">relieved using ophthalmic lubricants and warm compresses.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 xml:space="preserve">This diagnosis does not apply for the patient because there no report of sneezing, coughing, heavy lifting, or engaging in a straneous activity. </w:t>
      </w:r>
    </w:p>
    <w:p w:rsidR="001637D7" w:rsidRPr="00084886" w:rsidRDefault="007F3811" w:rsidP="00084886">
      <w:pPr>
        <w:spacing w:line="480" w:lineRule="auto"/>
        <w:ind w:firstLine="720"/>
        <w:rPr>
          <w:rFonts w:ascii="Times New Roman" w:hAnsi="Times New Roman"/>
          <w:b/>
          <w:bCs/>
          <w:sz w:val="24"/>
          <w:szCs w:val="24"/>
        </w:rPr>
      </w:pPr>
      <w:r w:rsidRPr="00084886">
        <w:rPr>
          <w:rFonts w:ascii="Times New Roman" w:hAnsi="Times New Roman"/>
          <w:b/>
          <w:bCs/>
          <w:sz w:val="24"/>
          <w:szCs w:val="24"/>
        </w:rPr>
        <w:t xml:space="preserve">3. Bacterial Conjunctivitis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It is a highly contagi</w:t>
      </w:r>
      <w:r w:rsidRPr="00084886">
        <w:rPr>
          <w:rFonts w:ascii="Times New Roman" w:hAnsi="Times New Roman"/>
          <w:sz w:val="24"/>
          <w:szCs w:val="24"/>
        </w:rPr>
        <w:t>ous disease that is transmitted through direct contact with an infected object. Depending on the stage of the infection, it can be considered hyleracute, acute, or chronic. Symptoms can be mild to moderate pain, a gritty feeling, mild purulent discharge, a</w:t>
      </w:r>
      <w:r w:rsidRPr="00084886">
        <w:rPr>
          <w:rFonts w:ascii="Times New Roman" w:hAnsi="Times New Roman"/>
          <w:sz w:val="24"/>
          <w:szCs w:val="24"/>
        </w:rPr>
        <w:t>nd mucopurulent secretions. It can be caused by Streptococcus pneumonia, Staphylococcus aureus, Staphylococcus species, Moraxella species, Neisseria gonorrhoeae, Escherichia coli, and Pseudomonas species (Holly et al).</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 xml:space="preserve">This diagnosis does not apply to the </w:t>
      </w:r>
      <w:r w:rsidRPr="00084886">
        <w:rPr>
          <w:rFonts w:ascii="Times New Roman" w:hAnsi="Times New Roman"/>
          <w:sz w:val="24"/>
          <w:szCs w:val="24"/>
        </w:rPr>
        <w:t xml:space="preserve">patient because he reports mild pain without purulent discharge or mucopurulent secretions. </w:t>
      </w:r>
    </w:p>
    <w:p w:rsidR="001637D7" w:rsidRPr="00084886" w:rsidRDefault="007F3811" w:rsidP="00084886">
      <w:pPr>
        <w:spacing w:line="480" w:lineRule="auto"/>
        <w:ind w:firstLine="720"/>
        <w:rPr>
          <w:rFonts w:ascii="Times New Roman" w:hAnsi="Times New Roman"/>
          <w:b/>
          <w:bCs/>
          <w:sz w:val="24"/>
          <w:szCs w:val="24"/>
        </w:rPr>
      </w:pPr>
      <w:r w:rsidRPr="00084886">
        <w:rPr>
          <w:rFonts w:ascii="Times New Roman" w:hAnsi="Times New Roman"/>
          <w:b/>
          <w:bCs/>
          <w:sz w:val="24"/>
          <w:szCs w:val="24"/>
        </w:rPr>
        <w:t xml:space="preserve">Additional Tests </w:t>
      </w:r>
    </w:p>
    <w:p w:rsidR="001637D7" w:rsidRPr="00084886" w:rsidRDefault="007F3811" w:rsidP="00084886">
      <w:pPr>
        <w:spacing w:line="480" w:lineRule="auto"/>
        <w:ind w:firstLine="720"/>
        <w:rPr>
          <w:rFonts w:ascii="Times New Roman" w:hAnsi="Times New Roman"/>
          <w:sz w:val="24"/>
          <w:szCs w:val="24"/>
        </w:rPr>
      </w:pPr>
      <w:r w:rsidRPr="00084886">
        <w:rPr>
          <w:rFonts w:ascii="Times New Roman" w:hAnsi="Times New Roman"/>
          <w:sz w:val="24"/>
          <w:szCs w:val="24"/>
        </w:rPr>
        <w:t>The additional test that I feel necessary to narrow down the differential diagnosis is using the slit lamp exam. This exam will allow the examina</w:t>
      </w:r>
      <w:r w:rsidRPr="00084886">
        <w:rPr>
          <w:rFonts w:ascii="Times New Roman" w:hAnsi="Times New Roman"/>
          <w:sz w:val="24"/>
          <w:szCs w:val="24"/>
        </w:rPr>
        <w:t>tion of the entire eye, including the cornea, iris, sclera, conjuctiva, and the white area. Thus test will allow the determination of any damages to the surface of the eye. This test is important for this case because it can be used to determine if the dis</w:t>
      </w:r>
      <w:r w:rsidRPr="00084886">
        <w:rPr>
          <w:rFonts w:ascii="Times New Roman" w:hAnsi="Times New Roman"/>
          <w:sz w:val="24"/>
          <w:szCs w:val="24"/>
        </w:rPr>
        <w:t xml:space="preserve">comfort is caused by an internal injury or a surface injury (Centers for Disease Control and Prevention). </w:t>
      </w:r>
    </w:p>
    <w:p w:rsidR="001637D7" w:rsidRPr="00084886" w:rsidRDefault="001637D7" w:rsidP="00084886">
      <w:pPr>
        <w:spacing w:line="480" w:lineRule="auto"/>
        <w:rPr>
          <w:rFonts w:ascii="Times New Roman" w:hAnsi="Times New Roman"/>
          <w:sz w:val="24"/>
          <w:szCs w:val="24"/>
        </w:rPr>
      </w:pPr>
    </w:p>
    <w:p w:rsidR="001637D7" w:rsidRPr="00084886" w:rsidRDefault="007F3811" w:rsidP="00084886">
      <w:pPr>
        <w:spacing w:line="480" w:lineRule="auto"/>
        <w:jc w:val="center"/>
        <w:rPr>
          <w:rFonts w:ascii="Times New Roman" w:hAnsi="Times New Roman"/>
          <w:sz w:val="24"/>
          <w:szCs w:val="24"/>
        </w:rPr>
      </w:pPr>
      <w:r w:rsidRPr="00084886">
        <w:rPr>
          <w:rFonts w:ascii="Times New Roman" w:hAnsi="Times New Roman"/>
          <w:sz w:val="24"/>
          <w:szCs w:val="24"/>
        </w:rPr>
        <w:lastRenderedPageBreak/>
        <w:t>References</w:t>
      </w:r>
    </w:p>
    <w:p w:rsidR="001637D7" w:rsidRPr="00084886" w:rsidRDefault="007F3811" w:rsidP="00084886">
      <w:pPr>
        <w:spacing w:after="180" w:line="480" w:lineRule="auto"/>
        <w:ind w:left="720" w:hanging="720"/>
        <w:rPr>
          <w:rFonts w:ascii="Times New Roman" w:hAnsi="Times New Roman"/>
          <w:sz w:val="24"/>
          <w:szCs w:val="24"/>
        </w:rPr>
      </w:pPr>
      <w:r w:rsidRPr="00084886">
        <w:rPr>
          <w:rFonts w:ascii="Times New Roman" w:hAnsi="Times New Roman"/>
          <w:sz w:val="24"/>
          <w:szCs w:val="24"/>
        </w:rPr>
        <w:t>Centers for Disease Control and Prevention. Conjunctivitis (Pink Eye) Diagnosis. https://www.cdc.gov/conjunctivitis/about/diagnosis.html</w:t>
      </w:r>
    </w:p>
    <w:p w:rsidR="001637D7" w:rsidRPr="00084886" w:rsidRDefault="007F3811" w:rsidP="00084886">
      <w:pPr>
        <w:spacing w:after="180" w:line="480" w:lineRule="auto"/>
        <w:ind w:left="720" w:hanging="720"/>
        <w:rPr>
          <w:rFonts w:ascii="Times New Roman" w:hAnsi="Times New Roman"/>
          <w:sz w:val="24"/>
          <w:szCs w:val="24"/>
        </w:rPr>
      </w:pPr>
      <w:r w:rsidRPr="00084886">
        <w:rPr>
          <w:rFonts w:ascii="Times New Roman" w:hAnsi="Times New Roman"/>
          <w:sz w:val="24"/>
          <w:szCs w:val="24"/>
        </w:rPr>
        <w:t>Holly Cronau , Ramana Reddy Kankanala, and Thomas Mauger. Diagnosis and Management of Red Eye in Primary Care. American Family Physician. 2010 Jan 15; 81. 2:137-144. https://www.aafp.org/afp/2010/0115/p137.html#afp20100115p137-b3</w:t>
      </w:r>
    </w:p>
    <w:p w:rsidR="001637D7" w:rsidRPr="00084886" w:rsidRDefault="007F3811" w:rsidP="00084886">
      <w:pPr>
        <w:spacing w:after="180" w:line="480" w:lineRule="auto"/>
        <w:ind w:left="720" w:hanging="720"/>
        <w:rPr>
          <w:rFonts w:ascii="Times New Roman" w:hAnsi="Times New Roman"/>
          <w:sz w:val="24"/>
          <w:szCs w:val="24"/>
        </w:rPr>
      </w:pPr>
      <w:r w:rsidRPr="00084886">
        <w:rPr>
          <w:rFonts w:ascii="Times New Roman" w:hAnsi="Times New Roman"/>
          <w:sz w:val="24"/>
          <w:szCs w:val="24"/>
        </w:rPr>
        <w:t xml:space="preserve">Stewart WC, Kolker AE, </w:t>
      </w:r>
      <w:r w:rsidRPr="00084886">
        <w:rPr>
          <w:rFonts w:ascii="Times New Roman" w:hAnsi="Times New Roman"/>
          <w:sz w:val="24"/>
          <w:szCs w:val="24"/>
        </w:rPr>
        <w:t>Stewart JA, Leech J, Jackson AL. Conjunctival hyperemia in healthy subjects after short-term dosing with latanoprost, bimatoprost, and travoprost. Am J Ophthalmol. 2003;135:314-320.</w:t>
      </w:r>
    </w:p>
    <w:p w:rsidR="001637D7" w:rsidRPr="00084886" w:rsidRDefault="007F3811" w:rsidP="00084886">
      <w:pPr>
        <w:spacing w:after="180" w:line="480" w:lineRule="auto"/>
        <w:ind w:left="720" w:hanging="720"/>
        <w:rPr>
          <w:rFonts w:ascii="Times New Roman" w:hAnsi="Times New Roman"/>
          <w:sz w:val="24"/>
          <w:szCs w:val="24"/>
        </w:rPr>
      </w:pPr>
      <w:r w:rsidRPr="00084886">
        <w:rPr>
          <w:rFonts w:ascii="Times New Roman" w:hAnsi="Times New Roman"/>
          <w:sz w:val="24"/>
          <w:szCs w:val="24"/>
        </w:rPr>
        <w:t>Wirbelauer C. Management of the red eye for the primary care physician. Am</w:t>
      </w:r>
      <w:r w:rsidRPr="00084886">
        <w:rPr>
          <w:rFonts w:ascii="Times New Roman" w:hAnsi="Times New Roman"/>
          <w:sz w:val="24"/>
          <w:szCs w:val="24"/>
        </w:rPr>
        <w:t xml:space="preserve"> J Med. 2006;119(4):302–306.</w:t>
      </w:r>
    </w:p>
    <w:sectPr w:rsidR="001637D7" w:rsidRPr="00084886">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11" w:rsidRDefault="007F3811">
      <w:pPr>
        <w:spacing w:after="0" w:line="240" w:lineRule="auto"/>
      </w:pPr>
      <w:r>
        <w:separator/>
      </w:r>
    </w:p>
  </w:endnote>
  <w:endnote w:type="continuationSeparator" w:id="0">
    <w:p w:rsidR="007F3811" w:rsidRDefault="007F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D7" w:rsidRDefault="001637D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11" w:rsidRDefault="007F3811">
      <w:pPr>
        <w:spacing w:after="0" w:line="240" w:lineRule="auto"/>
      </w:pPr>
      <w:r>
        <w:separator/>
      </w:r>
    </w:p>
  </w:footnote>
  <w:footnote w:type="continuationSeparator" w:id="0">
    <w:p w:rsidR="007F3811" w:rsidRDefault="007F3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D7" w:rsidRDefault="007F3811">
    <w:pPr>
      <w:pStyle w:val="Header"/>
      <w:jc w:val="right"/>
    </w:pPr>
    <w:r>
      <w:t>Surname</w:t>
    </w:r>
    <w:r>
      <w:fldChar w:fldCharType="begin"/>
    </w:r>
    <w:r>
      <w:instrText>PAGE</w:instrText>
    </w:r>
    <w:r>
      <w:fldChar w:fldCharType="separate"/>
    </w:r>
    <w:r w:rsidR="0008488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D7"/>
    <w:rsid w:val="00084886"/>
    <w:rsid w:val="001637D7"/>
    <w:rsid w:val="007F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A4A9A16-BAA6-43F2-A1AF-C5D7A34D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2021-04-30T08:59:00Z</dcterms:created>
  <dcterms:modified xsi:type="dcterms:W3CDTF">2021-04-30T08:59:00Z</dcterms:modified>
</cp:coreProperties>
</file>